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tbl>
      <w:tblPr>
        <w:tblStyle w:val="TableGrid"/>
        <w:tblW w:w="15030" w:type="dxa"/>
        <w:tblInd w:w="-342" w:type="dxa"/>
        <w:tblLook w:val="04A0" w:firstRow="1" w:lastRow="0" w:firstColumn="1" w:lastColumn="0" w:noHBand="0" w:noVBand="1"/>
      </w:tblPr>
      <w:tblGrid>
        <w:gridCol w:w="3600"/>
        <w:gridCol w:w="3870"/>
        <w:gridCol w:w="4680"/>
        <w:gridCol w:w="2880"/>
      </w:tblGrid>
      <w:tr w:rsidR="008262A2" w:rsidRPr="0023536D" w:rsidTr="00A7765F">
        <w:tc>
          <w:tcPr>
            <w:tcW w:w="3600" w:type="dxa"/>
            <w:shd w:val="clear" w:color="auto" w:fill="D99594" w:themeFill="accent2" w:themeFillTint="99"/>
          </w:tcPr>
          <w:p w:rsidR="008262A2" w:rsidRPr="0023536D" w:rsidRDefault="008262A2" w:rsidP="00CE6A3B">
            <w:pPr>
              <w:jc w:val="center"/>
              <w:rPr>
                <w:rFonts w:ascii="Sylfaen" w:hAnsi="Sylfaen"/>
                <w:b/>
                <w:sz w:val="24"/>
                <w:szCs w:val="24"/>
              </w:rPr>
            </w:pPr>
            <w:r>
              <w:rPr>
                <w:rFonts w:ascii="Sylfaen" w:hAnsi="Sylfaen"/>
                <w:b/>
                <w:sz w:val="24"/>
                <w:szCs w:val="24"/>
              </w:rPr>
              <w:t>FINANCE DEPARTMENT</w:t>
            </w:r>
          </w:p>
        </w:tc>
        <w:tc>
          <w:tcPr>
            <w:tcW w:w="3870" w:type="dxa"/>
            <w:tcBorders>
              <w:bottom w:val="single" w:sz="4" w:space="0" w:color="auto"/>
            </w:tcBorders>
            <w:shd w:val="clear" w:color="auto" w:fill="D99594" w:themeFill="accent2" w:themeFillTint="99"/>
          </w:tcPr>
          <w:p w:rsidR="008262A2" w:rsidRPr="0023536D" w:rsidRDefault="008262A2" w:rsidP="00CE6A3B">
            <w:pPr>
              <w:jc w:val="center"/>
              <w:rPr>
                <w:rFonts w:ascii="Sylfaen" w:hAnsi="Sylfaen"/>
                <w:b/>
                <w:sz w:val="24"/>
                <w:szCs w:val="24"/>
              </w:rPr>
            </w:pPr>
            <w:r w:rsidRPr="0023536D">
              <w:rPr>
                <w:rFonts w:ascii="Sylfaen" w:hAnsi="Sylfaen"/>
                <w:b/>
                <w:sz w:val="24"/>
                <w:szCs w:val="24"/>
              </w:rPr>
              <w:t>F A Q</w:t>
            </w:r>
            <w:r w:rsidR="00515457">
              <w:rPr>
                <w:rFonts w:ascii="Sylfaen" w:hAnsi="Sylfaen"/>
                <w:b/>
                <w:sz w:val="24"/>
                <w:szCs w:val="24"/>
              </w:rPr>
              <w:t xml:space="preserve"> S</w:t>
            </w:r>
          </w:p>
        </w:tc>
        <w:tc>
          <w:tcPr>
            <w:tcW w:w="4680" w:type="dxa"/>
            <w:tcBorders>
              <w:bottom w:val="single" w:sz="4" w:space="0" w:color="auto"/>
            </w:tcBorders>
            <w:shd w:val="clear" w:color="auto" w:fill="D99594" w:themeFill="accent2" w:themeFillTint="99"/>
          </w:tcPr>
          <w:p w:rsidR="008262A2" w:rsidRPr="0023536D" w:rsidRDefault="00515457" w:rsidP="00CE6A3B">
            <w:pPr>
              <w:jc w:val="center"/>
              <w:rPr>
                <w:rFonts w:ascii="Sylfaen" w:hAnsi="Sylfaen"/>
                <w:b/>
                <w:sz w:val="24"/>
                <w:szCs w:val="24"/>
              </w:rPr>
            </w:pPr>
            <w:r w:rsidRPr="0023536D">
              <w:rPr>
                <w:rFonts w:ascii="Sylfaen" w:hAnsi="Sylfaen"/>
                <w:b/>
                <w:sz w:val="24"/>
                <w:szCs w:val="24"/>
              </w:rPr>
              <w:t>ANSWERS</w:t>
            </w:r>
          </w:p>
        </w:tc>
        <w:tc>
          <w:tcPr>
            <w:tcW w:w="2880" w:type="dxa"/>
            <w:tcBorders>
              <w:bottom w:val="single" w:sz="4" w:space="0" w:color="auto"/>
            </w:tcBorders>
            <w:shd w:val="clear" w:color="auto" w:fill="D99594" w:themeFill="accent2" w:themeFillTint="99"/>
          </w:tcPr>
          <w:p w:rsidR="008262A2" w:rsidRPr="0023536D" w:rsidRDefault="00515457" w:rsidP="00CE6A3B">
            <w:pPr>
              <w:jc w:val="center"/>
              <w:rPr>
                <w:rFonts w:ascii="Sylfaen" w:hAnsi="Sylfaen"/>
                <w:b/>
                <w:sz w:val="24"/>
                <w:szCs w:val="24"/>
              </w:rPr>
            </w:pPr>
            <w:r w:rsidRPr="0023536D">
              <w:rPr>
                <w:rFonts w:ascii="Sylfaen" w:hAnsi="Sylfaen"/>
                <w:b/>
                <w:sz w:val="24"/>
                <w:szCs w:val="24"/>
              </w:rPr>
              <w:t>NAME AND PARTICULARS OF CONTACT PERSON</w:t>
            </w:r>
          </w:p>
          <w:p w:rsidR="008262A2" w:rsidRPr="0023536D" w:rsidRDefault="00515457" w:rsidP="00CE6A3B">
            <w:pPr>
              <w:jc w:val="center"/>
              <w:rPr>
                <w:rFonts w:ascii="Sylfaen" w:hAnsi="Sylfaen"/>
                <w:b/>
                <w:sz w:val="24"/>
                <w:szCs w:val="24"/>
              </w:rPr>
            </w:pPr>
            <w:r w:rsidRPr="0023536D">
              <w:rPr>
                <w:rFonts w:ascii="Sylfaen" w:hAnsi="Sylfaen"/>
                <w:b/>
                <w:sz w:val="24"/>
                <w:szCs w:val="24"/>
              </w:rPr>
              <w:t>ANY OFFICER AT COMPLAINT DESK</w:t>
            </w:r>
          </w:p>
        </w:tc>
      </w:tr>
      <w:tr w:rsidR="00B816AD" w:rsidTr="00CE21DE">
        <w:trPr>
          <w:trHeight w:val="2177"/>
        </w:trPr>
        <w:tc>
          <w:tcPr>
            <w:tcW w:w="3600" w:type="dxa"/>
            <w:vMerge w:val="restart"/>
          </w:tcPr>
          <w:p w:rsidR="00B816AD" w:rsidRPr="008262A2" w:rsidRDefault="00B816AD" w:rsidP="00B816AD">
            <w:pPr>
              <w:ind w:left="720" w:hanging="720"/>
              <w:rPr>
                <w:rFonts w:ascii="Sylfaen" w:hAnsi="Sylfaen"/>
                <w:b/>
                <w:sz w:val="24"/>
                <w:szCs w:val="24"/>
              </w:rPr>
            </w:pPr>
            <w:r w:rsidRPr="008262A2">
              <w:rPr>
                <w:rFonts w:ascii="Sylfaen" w:hAnsi="Sylfaen"/>
                <w:b/>
                <w:sz w:val="24"/>
                <w:szCs w:val="24"/>
              </w:rPr>
              <w:t xml:space="preserve">A </w:t>
            </w:r>
            <w:r w:rsidRPr="008262A2">
              <w:rPr>
                <w:rFonts w:ascii="Sylfaen" w:hAnsi="Sylfaen"/>
                <w:b/>
                <w:sz w:val="24"/>
                <w:szCs w:val="24"/>
              </w:rPr>
              <w:tab/>
            </w:r>
            <w:r>
              <w:rPr>
                <w:rFonts w:ascii="Sylfaen" w:hAnsi="Sylfaen"/>
                <w:b/>
                <w:sz w:val="24"/>
                <w:szCs w:val="24"/>
                <w:u w:val="single"/>
              </w:rPr>
              <w:t>AUTHORITY TO DISPLAY ADVERTISING STRUCTURE</w:t>
            </w:r>
          </w:p>
          <w:p w:rsidR="00B816AD" w:rsidRPr="00242A2C" w:rsidRDefault="00B816AD" w:rsidP="00CE6A3B">
            <w:pPr>
              <w:pStyle w:val="ListParagraph"/>
              <w:ind w:left="360"/>
              <w:rPr>
                <w:rFonts w:ascii="Sylfaen" w:hAnsi="Sylfaen"/>
                <w:b/>
                <w:sz w:val="24"/>
                <w:szCs w:val="24"/>
              </w:rPr>
            </w:pPr>
          </w:p>
        </w:tc>
        <w:tc>
          <w:tcPr>
            <w:tcW w:w="3870" w:type="dxa"/>
          </w:tcPr>
          <w:p w:rsidR="00B816AD" w:rsidRDefault="00B816AD" w:rsidP="00CE6A3B">
            <w:pPr>
              <w:rPr>
                <w:rFonts w:ascii="Sylfaen" w:hAnsi="Sylfaen"/>
                <w:b/>
                <w:sz w:val="24"/>
                <w:szCs w:val="24"/>
              </w:rPr>
            </w:pPr>
            <w:r>
              <w:rPr>
                <w:rFonts w:ascii="Sylfaen" w:hAnsi="Sylfaen"/>
                <w:sz w:val="24"/>
                <w:szCs w:val="24"/>
              </w:rPr>
              <w:t>What should a person wishing to display an advertising structure do?</w:t>
            </w:r>
          </w:p>
        </w:tc>
        <w:tc>
          <w:tcPr>
            <w:tcW w:w="4680" w:type="dxa"/>
          </w:tcPr>
          <w:p w:rsidR="00B816AD" w:rsidRPr="008262A2" w:rsidRDefault="00B816AD" w:rsidP="00515457">
            <w:pPr>
              <w:jc w:val="both"/>
              <w:rPr>
                <w:rFonts w:ascii="Sylfaen" w:hAnsi="Sylfaen"/>
                <w:sz w:val="24"/>
                <w:szCs w:val="24"/>
              </w:rPr>
            </w:pPr>
            <w:r>
              <w:rPr>
                <w:rFonts w:ascii="Sylfaen" w:hAnsi="Sylfaen"/>
                <w:sz w:val="24"/>
                <w:szCs w:val="24"/>
              </w:rPr>
              <w:t xml:space="preserve">A person wishing to display an advertising structure should, depending on the place where the structure is to be set up, seek the permission of the Road Development Authority and apply for a Building and Land Use Permit from the District </w:t>
            </w:r>
            <w:r w:rsidR="00515457">
              <w:rPr>
                <w:rFonts w:ascii="Sylfaen" w:hAnsi="Sylfaen"/>
                <w:sz w:val="24"/>
                <w:szCs w:val="24"/>
              </w:rPr>
              <w:t>C</w:t>
            </w:r>
            <w:r>
              <w:rPr>
                <w:rFonts w:ascii="Sylfaen" w:hAnsi="Sylfaen"/>
                <w:sz w:val="24"/>
                <w:szCs w:val="24"/>
              </w:rPr>
              <w:t>ouncil</w:t>
            </w:r>
            <w:r w:rsidR="00515457">
              <w:rPr>
                <w:rFonts w:ascii="Sylfaen" w:hAnsi="Sylfaen"/>
                <w:sz w:val="24"/>
                <w:szCs w:val="24"/>
              </w:rPr>
              <w:t>.</w:t>
            </w:r>
          </w:p>
        </w:tc>
        <w:tc>
          <w:tcPr>
            <w:tcW w:w="2880" w:type="dxa"/>
            <w:vMerge w:val="restart"/>
            <w:tcBorders>
              <w:bottom w:val="single" w:sz="4" w:space="0" w:color="auto"/>
            </w:tcBorders>
            <w:vAlign w:val="center"/>
          </w:tcPr>
          <w:p w:rsidR="00B816AD" w:rsidRDefault="00515457" w:rsidP="00515457">
            <w:pPr>
              <w:rPr>
                <w:rFonts w:ascii="Sylfaen" w:hAnsi="Sylfaen"/>
                <w:sz w:val="24"/>
                <w:szCs w:val="24"/>
              </w:rPr>
            </w:pPr>
            <w:r>
              <w:rPr>
                <w:rFonts w:ascii="Sylfaen" w:hAnsi="Sylfaen"/>
                <w:sz w:val="24"/>
                <w:szCs w:val="24"/>
              </w:rPr>
              <w:t xml:space="preserve">Any </w:t>
            </w:r>
            <w:r w:rsidR="00B816AD">
              <w:rPr>
                <w:rFonts w:ascii="Sylfaen" w:hAnsi="Sylfaen"/>
                <w:sz w:val="24"/>
                <w:szCs w:val="24"/>
              </w:rPr>
              <w:t>Officer of the Finance Department on 401-3100 extensions 3117 to 3124</w:t>
            </w:r>
          </w:p>
        </w:tc>
      </w:tr>
      <w:tr w:rsidR="00645EAD" w:rsidTr="00A7765F">
        <w:tc>
          <w:tcPr>
            <w:tcW w:w="3600" w:type="dxa"/>
            <w:vMerge/>
          </w:tcPr>
          <w:p w:rsidR="00645EAD" w:rsidRPr="008262A2" w:rsidRDefault="00645EAD" w:rsidP="008262A2">
            <w:pPr>
              <w:rPr>
                <w:rFonts w:ascii="Sylfaen" w:hAnsi="Sylfaen"/>
                <w:b/>
                <w:sz w:val="24"/>
                <w:szCs w:val="24"/>
              </w:rPr>
            </w:pPr>
          </w:p>
        </w:tc>
        <w:tc>
          <w:tcPr>
            <w:tcW w:w="3870" w:type="dxa"/>
          </w:tcPr>
          <w:p w:rsidR="00645EAD" w:rsidRDefault="00645EAD" w:rsidP="00CE6A3B">
            <w:pPr>
              <w:rPr>
                <w:rFonts w:ascii="Sylfaen" w:hAnsi="Sylfaen"/>
                <w:sz w:val="24"/>
                <w:szCs w:val="24"/>
              </w:rPr>
            </w:pPr>
            <w:r>
              <w:rPr>
                <w:rFonts w:ascii="Sylfaen" w:hAnsi="Sylfaen"/>
                <w:sz w:val="24"/>
                <w:szCs w:val="24"/>
              </w:rPr>
              <w:t>What advertising/publicity fees are payable to the Council?</w:t>
            </w:r>
          </w:p>
        </w:tc>
        <w:tc>
          <w:tcPr>
            <w:tcW w:w="4680" w:type="dxa"/>
          </w:tcPr>
          <w:p w:rsidR="00645EAD" w:rsidRDefault="00645EAD" w:rsidP="00CE6A3B">
            <w:pPr>
              <w:jc w:val="both"/>
              <w:rPr>
                <w:rFonts w:ascii="Sylfaen" w:hAnsi="Sylfaen"/>
                <w:sz w:val="24"/>
                <w:szCs w:val="24"/>
              </w:rPr>
            </w:pPr>
            <w:r>
              <w:rPr>
                <w:rFonts w:ascii="Sylfaen" w:hAnsi="Sylfaen"/>
                <w:sz w:val="24"/>
                <w:szCs w:val="24"/>
              </w:rPr>
              <w:t>Under Sections 122, 153 and 163 (GN 305 of 2014) of the Local Government Act 2011, the following fees are chargeable:</w:t>
            </w:r>
          </w:p>
          <w:p w:rsidR="00645EAD" w:rsidRDefault="00645EAD" w:rsidP="00CE6A3B">
            <w:pPr>
              <w:jc w:val="both"/>
              <w:rPr>
                <w:rFonts w:ascii="Sylfaen" w:hAnsi="Sylfaen"/>
                <w:sz w:val="24"/>
                <w:szCs w:val="24"/>
              </w:rPr>
            </w:pPr>
          </w:p>
          <w:p w:rsidR="00645EAD" w:rsidRDefault="00645EAD" w:rsidP="00CE6A3B">
            <w:pPr>
              <w:jc w:val="both"/>
              <w:rPr>
                <w:rFonts w:ascii="Sylfaen" w:hAnsi="Sylfaen"/>
                <w:sz w:val="24"/>
                <w:szCs w:val="24"/>
              </w:rPr>
            </w:pPr>
            <w:r>
              <w:rPr>
                <w:rFonts w:ascii="Sylfaen" w:hAnsi="Sylfaen"/>
                <w:sz w:val="24"/>
                <w:szCs w:val="24"/>
              </w:rPr>
              <w:t>For fixing of posters per copy:</w:t>
            </w:r>
          </w:p>
          <w:p w:rsidR="00645EAD" w:rsidRDefault="00645EAD" w:rsidP="00CE6A3B">
            <w:pPr>
              <w:jc w:val="both"/>
              <w:rPr>
                <w:rFonts w:ascii="Sylfaen" w:hAnsi="Sylfaen"/>
                <w:sz w:val="24"/>
                <w:szCs w:val="24"/>
              </w:rPr>
            </w:pPr>
          </w:p>
          <w:p w:rsidR="00645EAD" w:rsidRDefault="00645EAD" w:rsidP="00F9349B">
            <w:pPr>
              <w:pStyle w:val="ListParagraph"/>
              <w:numPr>
                <w:ilvl w:val="0"/>
                <w:numId w:val="13"/>
              </w:numPr>
              <w:jc w:val="both"/>
              <w:rPr>
                <w:rFonts w:ascii="Sylfaen" w:hAnsi="Sylfaen"/>
                <w:sz w:val="24"/>
                <w:szCs w:val="24"/>
              </w:rPr>
            </w:pPr>
            <w:r>
              <w:rPr>
                <w:rFonts w:ascii="Sylfaen" w:hAnsi="Sylfaen"/>
                <w:sz w:val="24"/>
                <w:szCs w:val="24"/>
              </w:rPr>
              <w:t>Size = not more than 1m</w:t>
            </w:r>
            <w:r w:rsidRPr="00F9349B">
              <w:rPr>
                <w:rFonts w:ascii="Sylfaen" w:hAnsi="Sylfaen"/>
                <w:sz w:val="24"/>
                <w:szCs w:val="24"/>
                <w:vertAlign w:val="superscript"/>
              </w:rPr>
              <w:t>2</w:t>
            </w:r>
            <w:r>
              <w:rPr>
                <w:rFonts w:ascii="Sylfaen" w:hAnsi="Sylfaen"/>
                <w:sz w:val="24"/>
                <w:szCs w:val="24"/>
              </w:rPr>
              <w:tab/>
              <w:t>Rs10</w:t>
            </w:r>
          </w:p>
          <w:p w:rsidR="00645EAD" w:rsidRDefault="00645EAD" w:rsidP="00F9349B">
            <w:pPr>
              <w:pStyle w:val="ListParagraph"/>
              <w:numPr>
                <w:ilvl w:val="0"/>
                <w:numId w:val="13"/>
              </w:numPr>
              <w:jc w:val="both"/>
              <w:rPr>
                <w:rFonts w:ascii="Sylfaen" w:hAnsi="Sylfaen"/>
                <w:sz w:val="24"/>
                <w:szCs w:val="24"/>
              </w:rPr>
            </w:pPr>
            <w:r>
              <w:rPr>
                <w:rFonts w:ascii="Sylfaen" w:hAnsi="Sylfaen"/>
                <w:sz w:val="24"/>
                <w:szCs w:val="24"/>
              </w:rPr>
              <w:t>Size – More than 1m</w:t>
            </w:r>
            <w:r w:rsidRPr="00F9349B">
              <w:rPr>
                <w:rFonts w:ascii="Sylfaen" w:hAnsi="Sylfaen"/>
                <w:sz w:val="24"/>
                <w:szCs w:val="24"/>
                <w:vertAlign w:val="superscript"/>
              </w:rPr>
              <w:t>2</w:t>
            </w:r>
            <w:r>
              <w:rPr>
                <w:rFonts w:ascii="Sylfaen" w:hAnsi="Sylfaen"/>
                <w:sz w:val="24"/>
                <w:szCs w:val="24"/>
              </w:rPr>
              <w:tab/>
            </w:r>
            <w:r>
              <w:rPr>
                <w:rFonts w:ascii="Sylfaen" w:hAnsi="Sylfaen"/>
                <w:sz w:val="24"/>
                <w:szCs w:val="24"/>
              </w:rPr>
              <w:tab/>
            </w:r>
            <w:proofErr w:type="spellStart"/>
            <w:r>
              <w:rPr>
                <w:rFonts w:ascii="Sylfaen" w:hAnsi="Sylfaen"/>
                <w:sz w:val="24"/>
                <w:szCs w:val="24"/>
              </w:rPr>
              <w:t>Rs</w:t>
            </w:r>
            <w:proofErr w:type="spellEnd"/>
            <w:r>
              <w:rPr>
                <w:rFonts w:ascii="Sylfaen" w:hAnsi="Sylfaen"/>
                <w:sz w:val="24"/>
                <w:szCs w:val="24"/>
              </w:rPr>
              <w:t xml:space="preserve"> 100</w:t>
            </w:r>
          </w:p>
          <w:p w:rsidR="00645EAD" w:rsidRDefault="00645EAD" w:rsidP="00F9349B">
            <w:pPr>
              <w:jc w:val="both"/>
              <w:rPr>
                <w:rFonts w:ascii="Sylfaen" w:hAnsi="Sylfaen"/>
                <w:sz w:val="24"/>
                <w:szCs w:val="24"/>
              </w:rPr>
            </w:pPr>
          </w:p>
          <w:p w:rsidR="00645EAD" w:rsidRDefault="00645EAD" w:rsidP="00F9349B">
            <w:pPr>
              <w:jc w:val="both"/>
              <w:rPr>
                <w:rFonts w:ascii="Sylfaen" w:hAnsi="Sylfaen"/>
                <w:sz w:val="24"/>
                <w:szCs w:val="24"/>
              </w:rPr>
            </w:pPr>
            <w:r>
              <w:rPr>
                <w:rFonts w:ascii="Sylfaen" w:hAnsi="Sylfaen"/>
                <w:sz w:val="24"/>
                <w:szCs w:val="24"/>
              </w:rPr>
              <w:t xml:space="preserve">Display of an advertisement on </w:t>
            </w:r>
            <w:r>
              <w:rPr>
                <w:rFonts w:ascii="Sylfaen" w:hAnsi="Sylfaen"/>
                <w:sz w:val="24"/>
                <w:szCs w:val="24"/>
              </w:rPr>
              <w:tab/>
            </w:r>
            <w:proofErr w:type="spellStart"/>
            <w:r>
              <w:rPr>
                <w:rFonts w:ascii="Sylfaen" w:hAnsi="Sylfaen"/>
                <w:sz w:val="24"/>
                <w:szCs w:val="24"/>
              </w:rPr>
              <w:t>Rs</w:t>
            </w:r>
            <w:proofErr w:type="spellEnd"/>
            <w:r>
              <w:rPr>
                <w:rFonts w:ascii="Sylfaen" w:hAnsi="Sylfaen"/>
                <w:sz w:val="24"/>
                <w:szCs w:val="24"/>
              </w:rPr>
              <w:t xml:space="preserve"> 1000</w:t>
            </w:r>
          </w:p>
          <w:p w:rsidR="00645EAD" w:rsidRDefault="00645EAD" w:rsidP="00F9349B">
            <w:pPr>
              <w:jc w:val="both"/>
              <w:rPr>
                <w:rFonts w:ascii="Sylfaen" w:hAnsi="Sylfaen"/>
                <w:sz w:val="24"/>
                <w:szCs w:val="24"/>
              </w:rPr>
            </w:pPr>
            <w:r>
              <w:rPr>
                <w:rFonts w:ascii="Sylfaen" w:hAnsi="Sylfaen"/>
                <w:sz w:val="24"/>
                <w:szCs w:val="24"/>
              </w:rPr>
              <w:t>flag (per flag)</w:t>
            </w:r>
            <w:r>
              <w:rPr>
                <w:rFonts w:ascii="Sylfaen" w:hAnsi="Sylfaen"/>
                <w:sz w:val="24"/>
                <w:szCs w:val="24"/>
              </w:rPr>
              <w:tab/>
            </w:r>
          </w:p>
          <w:p w:rsidR="00645EAD" w:rsidRDefault="00645EAD" w:rsidP="00F9349B">
            <w:pPr>
              <w:jc w:val="both"/>
              <w:rPr>
                <w:rFonts w:ascii="Sylfaen" w:hAnsi="Sylfaen"/>
                <w:sz w:val="24"/>
                <w:szCs w:val="24"/>
              </w:rPr>
            </w:pPr>
          </w:p>
          <w:p w:rsidR="00645EAD" w:rsidRDefault="00645EAD" w:rsidP="00F9349B">
            <w:pPr>
              <w:jc w:val="both"/>
              <w:rPr>
                <w:rFonts w:ascii="Sylfaen" w:hAnsi="Sylfaen"/>
                <w:sz w:val="24"/>
                <w:szCs w:val="24"/>
              </w:rPr>
            </w:pPr>
            <w:r>
              <w:rPr>
                <w:rFonts w:ascii="Sylfaen" w:hAnsi="Sylfaen"/>
                <w:sz w:val="24"/>
                <w:szCs w:val="24"/>
              </w:rPr>
              <w:t xml:space="preserve">Display of an advertisement on </w:t>
            </w:r>
            <w:r>
              <w:rPr>
                <w:rFonts w:ascii="Sylfaen" w:hAnsi="Sylfaen"/>
                <w:sz w:val="24"/>
                <w:szCs w:val="24"/>
              </w:rPr>
              <w:tab/>
            </w:r>
            <w:proofErr w:type="spellStart"/>
            <w:r>
              <w:rPr>
                <w:rFonts w:ascii="Sylfaen" w:hAnsi="Sylfaen"/>
                <w:sz w:val="24"/>
                <w:szCs w:val="24"/>
              </w:rPr>
              <w:t>Rs</w:t>
            </w:r>
            <w:proofErr w:type="spellEnd"/>
            <w:r>
              <w:rPr>
                <w:rFonts w:ascii="Sylfaen" w:hAnsi="Sylfaen"/>
                <w:sz w:val="24"/>
                <w:szCs w:val="24"/>
              </w:rPr>
              <w:t xml:space="preserve"> 500</w:t>
            </w:r>
          </w:p>
          <w:p w:rsidR="00645EAD" w:rsidRDefault="00645EAD" w:rsidP="00F9349B">
            <w:pPr>
              <w:jc w:val="both"/>
              <w:rPr>
                <w:rFonts w:ascii="Sylfaen" w:hAnsi="Sylfaen"/>
                <w:sz w:val="24"/>
                <w:szCs w:val="24"/>
              </w:rPr>
            </w:pPr>
            <w:r>
              <w:rPr>
                <w:rFonts w:ascii="Sylfaen" w:hAnsi="Sylfaen"/>
                <w:sz w:val="24"/>
                <w:szCs w:val="24"/>
              </w:rPr>
              <w:t xml:space="preserve">a vehicle </w:t>
            </w:r>
            <w:r w:rsidRPr="00F9349B">
              <w:rPr>
                <w:rFonts w:ascii="Sylfaen" w:hAnsi="Sylfaen"/>
                <w:sz w:val="20"/>
                <w:szCs w:val="24"/>
              </w:rPr>
              <w:t>(per vehicle per advertisement</w:t>
            </w:r>
            <w:r>
              <w:rPr>
                <w:rFonts w:ascii="Sylfaen" w:hAnsi="Sylfaen"/>
                <w:sz w:val="24"/>
                <w:szCs w:val="24"/>
              </w:rPr>
              <w:t>)</w:t>
            </w:r>
          </w:p>
          <w:p w:rsidR="00645EAD" w:rsidRDefault="00645EAD" w:rsidP="00F9349B">
            <w:pPr>
              <w:jc w:val="both"/>
              <w:rPr>
                <w:rFonts w:ascii="Sylfaen" w:hAnsi="Sylfaen"/>
                <w:sz w:val="24"/>
                <w:szCs w:val="24"/>
              </w:rPr>
            </w:pPr>
          </w:p>
          <w:p w:rsidR="00645EAD" w:rsidRDefault="00645EAD" w:rsidP="00F9349B">
            <w:pPr>
              <w:jc w:val="both"/>
              <w:rPr>
                <w:rFonts w:ascii="Sylfaen" w:hAnsi="Sylfaen"/>
                <w:sz w:val="24"/>
                <w:szCs w:val="24"/>
              </w:rPr>
            </w:pPr>
            <w:r>
              <w:rPr>
                <w:rFonts w:ascii="Sylfaen" w:hAnsi="Sylfaen"/>
                <w:sz w:val="24"/>
                <w:szCs w:val="24"/>
              </w:rPr>
              <w:t>Display of an advertisement on wooden board, wall, building, tin or any other material or under glass</w:t>
            </w:r>
          </w:p>
          <w:p w:rsidR="00645EAD" w:rsidRPr="00F9349B" w:rsidRDefault="00645EAD" w:rsidP="00F9349B">
            <w:pPr>
              <w:jc w:val="both"/>
              <w:rPr>
                <w:rFonts w:ascii="Sylfaen" w:hAnsi="Sylfaen"/>
                <w:sz w:val="16"/>
                <w:szCs w:val="24"/>
              </w:rPr>
            </w:pPr>
          </w:p>
          <w:p w:rsidR="00645EAD" w:rsidRDefault="00645EAD" w:rsidP="00F9349B">
            <w:pPr>
              <w:pStyle w:val="ListParagraph"/>
              <w:numPr>
                <w:ilvl w:val="0"/>
                <w:numId w:val="14"/>
              </w:numPr>
              <w:jc w:val="both"/>
              <w:rPr>
                <w:rFonts w:ascii="Sylfaen" w:hAnsi="Sylfaen"/>
                <w:sz w:val="24"/>
                <w:szCs w:val="24"/>
              </w:rPr>
            </w:pPr>
            <w:r>
              <w:rPr>
                <w:rFonts w:ascii="Sylfaen" w:hAnsi="Sylfaen"/>
                <w:sz w:val="24"/>
                <w:szCs w:val="24"/>
              </w:rPr>
              <w:lastRenderedPageBreak/>
              <w:t>Of not more than 3 m</w:t>
            </w:r>
            <w:r w:rsidRPr="00F9349B">
              <w:rPr>
                <w:rFonts w:ascii="Sylfaen" w:hAnsi="Sylfaen"/>
                <w:sz w:val="24"/>
                <w:szCs w:val="24"/>
                <w:vertAlign w:val="superscript"/>
              </w:rPr>
              <w:t>2</w:t>
            </w:r>
            <w:r>
              <w:rPr>
                <w:rFonts w:ascii="Sylfaen" w:hAnsi="Sylfaen"/>
                <w:sz w:val="24"/>
                <w:szCs w:val="24"/>
              </w:rPr>
              <w:t xml:space="preserve"> </w:t>
            </w:r>
            <w:r>
              <w:rPr>
                <w:rFonts w:ascii="Sylfaen" w:hAnsi="Sylfaen"/>
                <w:sz w:val="24"/>
                <w:szCs w:val="24"/>
              </w:rPr>
              <w:tab/>
            </w:r>
            <w:r>
              <w:rPr>
                <w:rFonts w:ascii="Sylfaen" w:hAnsi="Sylfaen"/>
                <w:sz w:val="24"/>
                <w:szCs w:val="24"/>
              </w:rPr>
              <w:tab/>
            </w:r>
            <w:proofErr w:type="spellStart"/>
            <w:r>
              <w:rPr>
                <w:rFonts w:ascii="Sylfaen" w:hAnsi="Sylfaen"/>
                <w:sz w:val="24"/>
                <w:szCs w:val="24"/>
              </w:rPr>
              <w:t>Rs</w:t>
            </w:r>
            <w:proofErr w:type="spellEnd"/>
            <w:r>
              <w:rPr>
                <w:rFonts w:ascii="Sylfaen" w:hAnsi="Sylfaen"/>
                <w:sz w:val="24"/>
                <w:szCs w:val="24"/>
              </w:rPr>
              <w:t xml:space="preserve"> 500</w:t>
            </w:r>
          </w:p>
          <w:p w:rsidR="00645EAD" w:rsidRDefault="00645EAD" w:rsidP="00F9349B">
            <w:pPr>
              <w:pStyle w:val="ListParagraph"/>
              <w:ind w:left="360"/>
              <w:jc w:val="both"/>
              <w:rPr>
                <w:rFonts w:ascii="Sylfaen" w:hAnsi="Sylfaen"/>
                <w:sz w:val="24"/>
                <w:szCs w:val="24"/>
              </w:rPr>
            </w:pPr>
            <w:r>
              <w:rPr>
                <w:rFonts w:ascii="Sylfaen" w:hAnsi="Sylfaen"/>
                <w:sz w:val="24"/>
                <w:szCs w:val="24"/>
              </w:rPr>
              <w:t>(per 0.1m</w:t>
            </w:r>
            <w:r w:rsidRPr="00F9349B">
              <w:rPr>
                <w:rFonts w:ascii="Sylfaen" w:hAnsi="Sylfaen"/>
                <w:sz w:val="24"/>
                <w:szCs w:val="24"/>
                <w:vertAlign w:val="superscript"/>
              </w:rPr>
              <w:t>2</w:t>
            </w:r>
            <w:r>
              <w:rPr>
                <w:rFonts w:ascii="Sylfaen" w:hAnsi="Sylfaen"/>
                <w:sz w:val="24"/>
                <w:szCs w:val="24"/>
              </w:rPr>
              <w:t>)</w:t>
            </w:r>
          </w:p>
          <w:p w:rsidR="00645EAD" w:rsidRPr="00F9349B" w:rsidRDefault="00645EAD" w:rsidP="00F9349B">
            <w:pPr>
              <w:pStyle w:val="ListParagraph"/>
              <w:numPr>
                <w:ilvl w:val="0"/>
                <w:numId w:val="14"/>
              </w:numPr>
              <w:rPr>
                <w:rFonts w:ascii="Sylfaen" w:hAnsi="Sylfaen"/>
                <w:sz w:val="24"/>
                <w:szCs w:val="24"/>
              </w:rPr>
            </w:pPr>
            <w:r>
              <w:rPr>
                <w:rFonts w:ascii="Sylfaen" w:hAnsi="Sylfaen"/>
                <w:sz w:val="24"/>
                <w:szCs w:val="24"/>
              </w:rPr>
              <w:t>Of more than 3m</w:t>
            </w:r>
            <w:r w:rsidRPr="00F9349B">
              <w:rPr>
                <w:rFonts w:ascii="Sylfaen" w:hAnsi="Sylfaen"/>
                <w:sz w:val="24"/>
                <w:szCs w:val="24"/>
                <w:vertAlign w:val="superscript"/>
              </w:rPr>
              <w:t>2</w:t>
            </w:r>
            <w:r>
              <w:rPr>
                <w:rFonts w:ascii="Sylfaen" w:hAnsi="Sylfaen"/>
                <w:sz w:val="24"/>
                <w:szCs w:val="24"/>
              </w:rPr>
              <w:t xml:space="preserve"> </w:t>
            </w:r>
            <w:r>
              <w:rPr>
                <w:rFonts w:ascii="Sylfaen" w:hAnsi="Sylfaen"/>
                <w:sz w:val="24"/>
                <w:szCs w:val="24"/>
              </w:rPr>
              <w:tab/>
            </w:r>
            <w:r>
              <w:rPr>
                <w:rFonts w:ascii="Sylfaen" w:hAnsi="Sylfaen"/>
                <w:sz w:val="24"/>
                <w:szCs w:val="24"/>
              </w:rPr>
              <w:tab/>
            </w:r>
            <w:proofErr w:type="spellStart"/>
            <w:r>
              <w:rPr>
                <w:rFonts w:ascii="Sylfaen" w:hAnsi="Sylfaen"/>
                <w:sz w:val="24"/>
                <w:szCs w:val="24"/>
              </w:rPr>
              <w:t>Rs</w:t>
            </w:r>
            <w:proofErr w:type="spellEnd"/>
            <w:r>
              <w:rPr>
                <w:rFonts w:ascii="Sylfaen" w:hAnsi="Sylfaen"/>
                <w:sz w:val="24"/>
                <w:szCs w:val="24"/>
              </w:rPr>
              <w:t xml:space="preserve"> 50 (per additional o.1 m</w:t>
            </w:r>
            <w:r w:rsidRPr="00F9349B">
              <w:rPr>
                <w:rFonts w:ascii="Sylfaen" w:hAnsi="Sylfaen"/>
                <w:sz w:val="24"/>
                <w:szCs w:val="24"/>
                <w:vertAlign w:val="superscript"/>
              </w:rPr>
              <w:t>2</w:t>
            </w:r>
            <w:r>
              <w:rPr>
                <w:rFonts w:ascii="Sylfaen" w:hAnsi="Sylfaen"/>
                <w:sz w:val="24"/>
                <w:szCs w:val="24"/>
              </w:rPr>
              <w:t xml:space="preserve"> or f</w:t>
            </w:r>
            <w:r w:rsidR="00515457">
              <w:rPr>
                <w:rFonts w:ascii="Sylfaen" w:hAnsi="Sylfaen"/>
                <w:sz w:val="24"/>
                <w:szCs w:val="24"/>
              </w:rPr>
              <w:t>r</w:t>
            </w:r>
            <w:r>
              <w:rPr>
                <w:rFonts w:ascii="Sylfaen" w:hAnsi="Sylfaen"/>
                <w:sz w:val="24"/>
                <w:szCs w:val="24"/>
              </w:rPr>
              <w:t>action thereof)</w:t>
            </w:r>
          </w:p>
        </w:tc>
        <w:tc>
          <w:tcPr>
            <w:tcW w:w="2880" w:type="dxa"/>
            <w:vMerge/>
            <w:tcBorders>
              <w:bottom w:val="single" w:sz="4" w:space="0" w:color="auto"/>
            </w:tcBorders>
            <w:vAlign w:val="center"/>
          </w:tcPr>
          <w:p w:rsidR="00645EAD" w:rsidRDefault="00645EAD" w:rsidP="00CE6A3B">
            <w:pPr>
              <w:rPr>
                <w:rFonts w:ascii="Sylfaen" w:hAnsi="Sylfaen"/>
                <w:sz w:val="24"/>
                <w:szCs w:val="24"/>
              </w:rPr>
            </w:pPr>
          </w:p>
        </w:tc>
      </w:tr>
      <w:tr w:rsidR="00775FDE" w:rsidTr="00A7765F">
        <w:tc>
          <w:tcPr>
            <w:tcW w:w="3600" w:type="dxa"/>
          </w:tcPr>
          <w:p w:rsidR="00775FDE" w:rsidRPr="00775FDE" w:rsidRDefault="00775FDE" w:rsidP="008262A2">
            <w:pPr>
              <w:rPr>
                <w:rFonts w:ascii="Sylfaen" w:hAnsi="Sylfaen"/>
                <w:b/>
                <w:sz w:val="24"/>
                <w:szCs w:val="24"/>
              </w:rPr>
            </w:pPr>
            <w:r>
              <w:rPr>
                <w:rFonts w:ascii="Sylfaen" w:hAnsi="Sylfaen"/>
                <w:b/>
                <w:sz w:val="24"/>
                <w:szCs w:val="24"/>
              </w:rPr>
              <w:lastRenderedPageBreak/>
              <w:t>B.  LEVY OF CHARGES</w:t>
            </w:r>
          </w:p>
        </w:tc>
        <w:tc>
          <w:tcPr>
            <w:tcW w:w="3870" w:type="dxa"/>
          </w:tcPr>
          <w:p w:rsidR="00775FDE" w:rsidRDefault="00775FDE" w:rsidP="00CE6A3B">
            <w:pPr>
              <w:rPr>
                <w:rFonts w:ascii="Sylfaen" w:hAnsi="Sylfaen"/>
                <w:sz w:val="24"/>
                <w:szCs w:val="24"/>
              </w:rPr>
            </w:pPr>
            <w:r>
              <w:rPr>
                <w:rFonts w:ascii="Sylfaen" w:hAnsi="Sylfaen"/>
                <w:sz w:val="24"/>
                <w:szCs w:val="24"/>
              </w:rPr>
              <w:t>What is an Admission Charge?</w:t>
            </w:r>
          </w:p>
        </w:tc>
        <w:tc>
          <w:tcPr>
            <w:tcW w:w="4680" w:type="dxa"/>
          </w:tcPr>
          <w:p w:rsidR="00775FDE" w:rsidRDefault="00775FDE" w:rsidP="00515457">
            <w:pPr>
              <w:jc w:val="both"/>
              <w:rPr>
                <w:rFonts w:ascii="Sylfaen" w:hAnsi="Sylfaen"/>
                <w:sz w:val="24"/>
                <w:szCs w:val="24"/>
              </w:rPr>
            </w:pPr>
            <w:r>
              <w:rPr>
                <w:rFonts w:ascii="Sylfaen" w:hAnsi="Sylfaen"/>
                <w:sz w:val="24"/>
                <w:szCs w:val="24"/>
              </w:rPr>
              <w:t xml:space="preserve">Admission Charge is the charge </w:t>
            </w:r>
            <w:proofErr w:type="spellStart"/>
            <w:r>
              <w:rPr>
                <w:rFonts w:ascii="Sylfaen" w:hAnsi="Sylfaen"/>
                <w:sz w:val="24"/>
                <w:szCs w:val="24"/>
              </w:rPr>
              <w:t>leviable</w:t>
            </w:r>
            <w:proofErr w:type="spellEnd"/>
            <w:r>
              <w:rPr>
                <w:rFonts w:ascii="Sylfaen" w:hAnsi="Sylfaen"/>
                <w:sz w:val="24"/>
                <w:szCs w:val="24"/>
              </w:rPr>
              <w:t xml:space="preserve"> under Section 128 of the Local Government Act 2011 on </w:t>
            </w:r>
            <w:r w:rsidR="00515457">
              <w:rPr>
                <w:rFonts w:ascii="Sylfaen" w:hAnsi="Sylfaen"/>
                <w:sz w:val="24"/>
                <w:szCs w:val="24"/>
              </w:rPr>
              <w:t>any payment made for admission to</w:t>
            </w:r>
            <w:r>
              <w:rPr>
                <w:rFonts w:ascii="Sylfaen" w:hAnsi="Sylfaen"/>
                <w:sz w:val="24"/>
                <w:szCs w:val="24"/>
              </w:rPr>
              <w:t xml:space="preserve"> any park, site, fair, resort, hotel, exhibition hall, reception hall, car park, discotheque, night club or such other places as may be prescribed by regulations made by the Council.</w:t>
            </w:r>
          </w:p>
        </w:tc>
        <w:tc>
          <w:tcPr>
            <w:tcW w:w="2880" w:type="dxa"/>
            <w:tcBorders>
              <w:top w:val="single" w:sz="4" w:space="0" w:color="auto"/>
              <w:bottom w:val="nil"/>
            </w:tcBorders>
            <w:vAlign w:val="center"/>
          </w:tcPr>
          <w:p w:rsidR="00775FDE" w:rsidRDefault="00775FDE" w:rsidP="00CE6A3B">
            <w:pPr>
              <w:rPr>
                <w:rFonts w:ascii="Sylfaen" w:hAnsi="Sylfaen"/>
                <w:sz w:val="24"/>
                <w:szCs w:val="24"/>
              </w:rPr>
            </w:pPr>
          </w:p>
        </w:tc>
      </w:tr>
      <w:tr w:rsidR="00775FDE" w:rsidTr="007445A5">
        <w:tc>
          <w:tcPr>
            <w:tcW w:w="3600" w:type="dxa"/>
          </w:tcPr>
          <w:p w:rsidR="00775FDE" w:rsidRDefault="00775FDE" w:rsidP="008262A2">
            <w:pPr>
              <w:rPr>
                <w:rFonts w:ascii="Sylfaen" w:hAnsi="Sylfaen"/>
                <w:b/>
                <w:sz w:val="24"/>
                <w:szCs w:val="24"/>
              </w:rPr>
            </w:pPr>
          </w:p>
        </w:tc>
        <w:tc>
          <w:tcPr>
            <w:tcW w:w="3870" w:type="dxa"/>
          </w:tcPr>
          <w:p w:rsidR="00775FDE" w:rsidRDefault="00775FDE" w:rsidP="00CE6A3B">
            <w:pPr>
              <w:rPr>
                <w:rFonts w:ascii="Sylfaen" w:hAnsi="Sylfaen"/>
                <w:sz w:val="24"/>
                <w:szCs w:val="24"/>
              </w:rPr>
            </w:pPr>
            <w:r>
              <w:rPr>
                <w:rFonts w:ascii="Sylfaen" w:hAnsi="Sylfaen"/>
                <w:sz w:val="24"/>
                <w:szCs w:val="24"/>
              </w:rPr>
              <w:t>What is the rate of Admission Charge?</w:t>
            </w:r>
          </w:p>
        </w:tc>
        <w:tc>
          <w:tcPr>
            <w:tcW w:w="4680" w:type="dxa"/>
          </w:tcPr>
          <w:p w:rsidR="00775FDE" w:rsidRDefault="00775FDE" w:rsidP="00CE6A3B">
            <w:pPr>
              <w:jc w:val="both"/>
              <w:rPr>
                <w:rFonts w:ascii="Sylfaen" w:hAnsi="Sylfaen"/>
                <w:sz w:val="24"/>
                <w:szCs w:val="24"/>
              </w:rPr>
            </w:pPr>
            <w:r>
              <w:rPr>
                <w:rFonts w:ascii="Sylfaen" w:hAnsi="Sylfaen"/>
                <w:sz w:val="24"/>
                <w:szCs w:val="24"/>
              </w:rPr>
              <w:t xml:space="preserve"> The rate of Admission charge </w:t>
            </w:r>
            <w:proofErr w:type="spellStart"/>
            <w:r>
              <w:rPr>
                <w:rFonts w:ascii="Sylfaen" w:hAnsi="Sylfaen"/>
                <w:sz w:val="24"/>
                <w:szCs w:val="24"/>
              </w:rPr>
              <w:t>leviable</w:t>
            </w:r>
            <w:proofErr w:type="spellEnd"/>
            <w:r>
              <w:rPr>
                <w:rFonts w:ascii="Sylfaen" w:hAnsi="Sylfaen"/>
                <w:sz w:val="24"/>
                <w:szCs w:val="24"/>
              </w:rPr>
              <w:t xml:space="preserve"> is 10% of the amount paid for admission or such other amount as may be prescribed by Regulations made by the Council.</w:t>
            </w:r>
          </w:p>
        </w:tc>
        <w:tc>
          <w:tcPr>
            <w:tcW w:w="2880" w:type="dxa"/>
            <w:tcBorders>
              <w:top w:val="nil"/>
              <w:bottom w:val="nil"/>
            </w:tcBorders>
            <w:vAlign w:val="center"/>
          </w:tcPr>
          <w:p w:rsidR="00775FDE" w:rsidRDefault="00775FDE" w:rsidP="00CE6A3B">
            <w:pPr>
              <w:rPr>
                <w:rFonts w:ascii="Sylfaen" w:hAnsi="Sylfaen"/>
                <w:sz w:val="24"/>
                <w:szCs w:val="24"/>
              </w:rPr>
            </w:pPr>
          </w:p>
        </w:tc>
      </w:tr>
      <w:tr w:rsidR="00775FDE" w:rsidTr="007445A5">
        <w:tc>
          <w:tcPr>
            <w:tcW w:w="3600" w:type="dxa"/>
          </w:tcPr>
          <w:p w:rsidR="00775FDE" w:rsidRDefault="00775FDE" w:rsidP="008262A2">
            <w:pPr>
              <w:rPr>
                <w:rFonts w:ascii="Sylfaen" w:hAnsi="Sylfaen"/>
                <w:b/>
                <w:sz w:val="24"/>
                <w:szCs w:val="24"/>
              </w:rPr>
            </w:pPr>
          </w:p>
        </w:tc>
        <w:tc>
          <w:tcPr>
            <w:tcW w:w="3870" w:type="dxa"/>
          </w:tcPr>
          <w:p w:rsidR="00775FDE" w:rsidRDefault="00775FDE" w:rsidP="00CE6A3B">
            <w:pPr>
              <w:rPr>
                <w:rFonts w:ascii="Sylfaen" w:hAnsi="Sylfaen"/>
                <w:sz w:val="24"/>
                <w:szCs w:val="24"/>
              </w:rPr>
            </w:pPr>
            <w:r>
              <w:rPr>
                <w:rFonts w:ascii="Sylfaen" w:hAnsi="Sylfaen"/>
                <w:sz w:val="24"/>
                <w:szCs w:val="24"/>
              </w:rPr>
              <w:t>What are the procedures for registering as potential supplier/contractor of the Council</w:t>
            </w:r>
          </w:p>
        </w:tc>
        <w:tc>
          <w:tcPr>
            <w:tcW w:w="4680" w:type="dxa"/>
          </w:tcPr>
          <w:p w:rsidR="00775FDE" w:rsidRDefault="00775FDE" w:rsidP="00CE6A3B">
            <w:pPr>
              <w:jc w:val="both"/>
              <w:rPr>
                <w:rFonts w:ascii="Sylfaen" w:hAnsi="Sylfaen"/>
                <w:sz w:val="24"/>
                <w:szCs w:val="24"/>
              </w:rPr>
            </w:pPr>
            <w:r>
              <w:rPr>
                <w:rFonts w:ascii="Sylfaen" w:hAnsi="Sylfaen"/>
                <w:sz w:val="24"/>
                <w:szCs w:val="24"/>
              </w:rPr>
              <w:t xml:space="preserve">Any potential supplier/contractor who wishes to be registered for the supply of goods and services to the Council should fill a form available at the Council on the website and submit same to be enlisted as potential supplier/contractor. </w:t>
            </w:r>
          </w:p>
        </w:tc>
        <w:tc>
          <w:tcPr>
            <w:tcW w:w="2880" w:type="dxa"/>
            <w:tcBorders>
              <w:top w:val="nil"/>
              <w:bottom w:val="nil"/>
            </w:tcBorders>
            <w:vAlign w:val="center"/>
          </w:tcPr>
          <w:p w:rsidR="00775FDE" w:rsidRDefault="00775FDE" w:rsidP="00CE6A3B">
            <w:pPr>
              <w:rPr>
                <w:rFonts w:ascii="Sylfaen" w:hAnsi="Sylfaen"/>
                <w:sz w:val="24"/>
                <w:szCs w:val="24"/>
              </w:rPr>
            </w:pPr>
          </w:p>
        </w:tc>
      </w:tr>
      <w:tr w:rsidR="00775FDE" w:rsidTr="007445A5">
        <w:tc>
          <w:tcPr>
            <w:tcW w:w="3600" w:type="dxa"/>
          </w:tcPr>
          <w:p w:rsidR="00775FDE" w:rsidRDefault="00775FDE" w:rsidP="008262A2">
            <w:pPr>
              <w:rPr>
                <w:rFonts w:ascii="Sylfaen" w:hAnsi="Sylfaen"/>
                <w:b/>
                <w:sz w:val="24"/>
                <w:szCs w:val="24"/>
              </w:rPr>
            </w:pPr>
          </w:p>
        </w:tc>
        <w:tc>
          <w:tcPr>
            <w:tcW w:w="3870" w:type="dxa"/>
          </w:tcPr>
          <w:p w:rsidR="00775FDE" w:rsidRDefault="00775FDE" w:rsidP="00CE6A3B">
            <w:pPr>
              <w:rPr>
                <w:rFonts w:ascii="Sylfaen" w:hAnsi="Sylfaen"/>
                <w:sz w:val="24"/>
                <w:szCs w:val="24"/>
              </w:rPr>
            </w:pPr>
            <w:r>
              <w:rPr>
                <w:rFonts w:ascii="Sylfaen" w:hAnsi="Sylfaen"/>
                <w:sz w:val="24"/>
                <w:szCs w:val="24"/>
              </w:rPr>
              <w:t>How to effect payments to the Council?</w:t>
            </w:r>
          </w:p>
        </w:tc>
        <w:tc>
          <w:tcPr>
            <w:tcW w:w="4680" w:type="dxa"/>
          </w:tcPr>
          <w:p w:rsidR="00775FDE" w:rsidRDefault="00775FDE" w:rsidP="00CE6A3B">
            <w:pPr>
              <w:jc w:val="both"/>
              <w:rPr>
                <w:rFonts w:ascii="Sylfaen" w:hAnsi="Sylfaen"/>
                <w:sz w:val="24"/>
                <w:szCs w:val="24"/>
              </w:rPr>
            </w:pPr>
            <w:r>
              <w:rPr>
                <w:rFonts w:ascii="Sylfaen" w:hAnsi="Sylfaen"/>
                <w:sz w:val="24"/>
                <w:szCs w:val="24"/>
              </w:rPr>
              <w:t xml:space="preserve">Payment can be effected by cash or cheque made payable to “The District Council of Black River” at the Cashier’s Office between 9.00 </w:t>
            </w:r>
            <w:proofErr w:type="spellStart"/>
            <w:r>
              <w:rPr>
                <w:rFonts w:ascii="Sylfaen" w:hAnsi="Sylfaen"/>
                <w:sz w:val="24"/>
                <w:szCs w:val="24"/>
              </w:rPr>
              <w:t>hrs</w:t>
            </w:r>
            <w:proofErr w:type="spellEnd"/>
            <w:r>
              <w:rPr>
                <w:rFonts w:ascii="Sylfaen" w:hAnsi="Sylfaen"/>
                <w:sz w:val="24"/>
                <w:szCs w:val="24"/>
              </w:rPr>
              <w:t xml:space="preserve"> to 15.30 </w:t>
            </w:r>
            <w:proofErr w:type="spellStart"/>
            <w:r>
              <w:rPr>
                <w:rFonts w:ascii="Sylfaen" w:hAnsi="Sylfaen"/>
                <w:sz w:val="24"/>
                <w:szCs w:val="24"/>
              </w:rPr>
              <w:t>hrs</w:t>
            </w:r>
            <w:proofErr w:type="spellEnd"/>
            <w:r>
              <w:rPr>
                <w:rFonts w:ascii="Sylfaen" w:hAnsi="Sylfaen"/>
                <w:sz w:val="24"/>
                <w:szCs w:val="24"/>
              </w:rPr>
              <w:t xml:space="preserve"> from Monday to Friday (except on public holidays).</w:t>
            </w:r>
          </w:p>
        </w:tc>
        <w:tc>
          <w:tcPr>
            <w:tcW w:w="2880" w:type="dxa"/>
            <w:tcBorders>
              <w:top w:val="nil"/>
            </w:tcBorders>
            <w:vAlign w:val="center"/>
          </w:tcPr>
          <w:p w:rsidR="00775FDE" w:rsidRDefault="00775FDE" w:rsidP="00CE6A3B">
            <w:pPr>
              <w:rPr>
                <w:rFonts w:ascii="Sylfaen" w:hAnsi="Sylfaen"/>
                <w:sz w:val="24"/>
                <w:szCs w:val="24"/>
              </w:rPr>
            </w:pPr>
          </w:p>
        </w:tc>
      </w:tr>
    </w:tbl>
    <w:p w:rsidR="0023536D" w:rsidRPr="0023536D" w:rsidRDefault="0023536D">
      <w:pPr>
        <w:rPr>
          <w:rFonts w:ascii="Sylfaen" w:hAnsi="Sylfaen"/>
          <w:sz w:val="24"/>
          <w:szCs w:val="24"/>
        </w:rPr>
      </w:pPr>
      <w:bookmarkStart w:id="0" w:name="_GoBack"/>
      <w:bookmarkEnd w:id="0"/>
    </w:p>
    <w:sectPr w:rsidR="0023536D" w:rsidRPr="0023536D" w:rsidSect="00645EAD">
      <w:footerReference w:type="default" r:id="rId8"/>
      <w:pgSz w:w="16838" w:h="11906" w:orient="landscape"/>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EB" w:rsidRDefault="00C814EB" w:rsidP="00D47E5E">
      <w:pPr>
        <w:spacing w:after="0" w:line="240" w:lineRule="auto"/>
      </w:pPr>
      <w:r>
        <w:separator/>
      </w:r>
    </w:p>
  </w:endnote>
  <w:endnote w:type="continuationSeparator" w:id="0">
    <w:p w:rsidR="00C814EB" w:rsidRDefault="00C814EB" w:rsidP="00D4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989312"/>
      <w:docPartObj>
        <w:docPartGallery w:val="Page Numbers (Bottom of Page)"/>
        <w:docPartUnique/>
      </w:docPartObj>
    </w:sdtPr>
    <w:sdtEndPr>
      <w:rPr>
        <w:noProof/>
      </w:rPr>
    </w:sdtEndPr>
    <w:sdtContent>
      <w:p w:rsidR="00CE6A3B" w:rsidRDefault="00CE6A3B">
        <w:pPr>
          <w:pStyle w:val="Footer"/>
          <w:jc w:val="right"/>
        </w:pPr>
        <w:r>
          <w:fldChar w:fldCharType="begin"/>
        </w:r>
        <w:r>
          <w:instrText xml:space="preserve"> PAGE   \* MERGEFORMAT </w:instrText>
        </w:r>
        <w:r>
          <w:fldChar w:fldCharType="separate"/>
        </w:r>
        <w:r w:rsidR="00A7765F">
          <w:rPr>
            <w:noProof/>
          </w:rPr>
          <w:t>2</w:t>
        </w:r>
        <w:r>
          <w:rPr>
            <w:noProof/>
          </w:rPr>
          <w:fldChar w:fldCharType="end"/>
        </w:r>
      </w:p>
    </w:sdtContent>
  </w:sdt>
  <w:p w:rsidR="00CE6A3B" w:rsidRDefault="00CE6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EB" w:rsidRDefault="00C814EB" w:rsidP="00D47E5E">
      <w:pPr>
        <w:spacing w:after="0" w:line="240" w:lineRule="auto"/>
      </w:pPr>
      <w:r>
        <w:separator/>
      </w:r>
    </w:p>
  </w:footnote>
  <w:footnote w:type="continuationSeparator" w:id="0">
    <w:p w:rsidR="00C814EB" w:rsidRDefault="00C814EB" w:rsidP="00D47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072"/>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C20932"/>
    <w:multiLevelType w:val="hybridMultilevel"/>
    <w:tmpl w:val="C9A687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FE1520"/>
    <w:multiLevelType w:val="hybridMultilevel"/>
    <w:tmpl w:val="0F163B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3370E7"/>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840237"/>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6E68E1"/>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B90BD5"/>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601F0F"/>
    <w:multiLevelType w:val="hybridMultilevel"/>
    <w:tmpl w:val="5EB84E4A"/>
    <w:lvl w:ilvl="0" w:tplc="69BCEC2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2F367B"/>
    <w:multiLevelType w:val="hybridMultilevel"/>
    <w:tmpl w:val="A7D07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A33E90"/>
    <w:multiLevelType w:val="hybridMultilevel"/>
    <w:tmpl w:val="DAEAD3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124511"/>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DD5A4F"/>
    <w:multiLevelType w:val="hybridMultilevel"/>
    <w:tmpl w:val="A9DCF0B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4A11BA8"/>
    <w:multiLevelType w:val="hybridMultilevel"/>
    <w:tmpl w:val="F6C6BF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0655169"/>
    <w:multiLevelType w:val="hybridMultilevel"/>
    <w:tmpl w:val="762AC57A"/>
    <w:lvl w:ilvl="0" w:tplc="69BCEC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5173A47"/>
    <w:multiLevelType w:val="hybridMultilevel"/>
    <w:tmpl w:val="D5443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62F4322"/>
    <w:multiLevelType w:val="hybridMultilevel"/>
    <w:tmpl w:val="7B38B7DA"/>
    <w:lvl w:ilvl="0" w:tplc="A900F14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82921A4"/>
    <w:multiLevelType w:val="hybridMultilevel"/>
    <w:tmpl w:val="D4542272"/>
    <w:lvl w:ilvl="0" w:tplc="68C85044">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35797A"/>
    <w:multiLevelType w:val="hybridMultilevel"/>
    <w:tmpl w:val="19A64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F8F561E"/>
    <w:multiLevelType w:val="hybridMultilevel"/>
    <w:tmpl w:val="D542DAB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9"/>
  </w:num>
  <w:num w:numId="4">
    <w:abstractNumId w:val="2"/>
  </w:num>
  <w:num w:numId="5">
    <w:abstractNumId w:val="16"/>
  </w:num>
  <w:num w:numId="6">
    <w:abstractNumId w:val="3"/>
  </w:num>
  <w:num w:numId="7">
    <w:abstractNumId w:val="18"/>
  </w:num>
  <w:num w:numId="8">
    <w:abstractNumId w:val="1"/>
  </w:num>
  <w:num w:numId="9">
    <w:abstractNumId w:val="17"/>
  </w:num>
  <w:num w:numId="10">
    <w:abstractNumId w:val="12"/>
  </w:num>
  <w:num w:numId="11">
    <w:abstractNumId w:val="14"/>
  </w:num>
  <w:num w:numId="12">
    <w:abstractNumId w:val="5"/>
  </w:num>
  <w:num w:numId="13">
    <w:abstractNumId w:val="15"/>
  </w:num>
  <w:num w:numId="14">
    <w:abstractNumId w:val="13"/>
  </w:num>
  <w:num w:numId="15">
    <w:abstractNumId w:val="7"/>
  </w:num>
  <w:num w:numId="16">
    <w:abstractNumId w:val="8"/>
  </w:num>
  <w:num w:numId="17">
    <w:abstractNumId w:val="1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6D"/>
    <w:rsid w:val="0000664E"/>
    <w:rsid w:val="00023B38"/>
    <w:rsid w:val="00077997"/>
    <w:rsid w:val="00082FA4"/>
    <w:rsid w:val="000B732A"/>
    <w:rsid w:val="0012652F"/>
    <w:rsid w:val="00184A04"/>
    <w:rsid w:val="00193586"/>
    <w:rsid w:val="001A3FDB"/>
    <w:rsid w:val="001B33B6"/>
    <w:rsid w:val="00222344"/>
    <w:rsid w:val="0023536D"/>
    <w:rsid w:val="00237CC0"/>
    <w:rsid w:val="00242A2C"/>
    <w:rsid w:val="00254E75"/>
    <w:rsid w:val="00284ECF"/>
    <w:rsid w:val="00290EF0"/>
    <w:rsid w:val="002C16B0"/>
    <w:rsid w:val="003506A2"/>
    <w:rsid w:val="003604EF"/>
    <w:rsid w:val="00393E3C"/>
    <w:rsid w:val="00454295"/>
    <w:rsid w:val="00515457"/>
    <w:rsid w:val="00546857"/>
    <w:rsid w:val="00574457"/>
    <w:rsid w:val="00575911"/>
    <w:rsid w:val="005B5B2C"/>
    <w:rsid w:val="006024A3"/>
    <w:rsid w:val="00645EAD"/>
    <w:rsid w:val="0068416C"/>
    <w:rsid w:val="00686B8F"/>
    <w:rsid w:val="006E5D4E"/>
    <w:rsid w:val="007445A5"/>
    <w:rsid w:val="007703BB"/>
    <w:rsid w:val="00775FDE"/>
    <w:rsid w:val="007B6B80"/>
    <w:rsid w:val="007C1FD1"/>
    <w:rsid w:val="007E2772"/>
    <w:rsid w:val="008262A2"/>
    <w:rsid w:val="008B00E5"/>
    <w:rsid w:val="008B44D8"/>
    <w:rsid w:val="008F0D65"/>
    <w:rsid w:val="00913D15"/>
    <w:rsid w:val="00956FA6"/>
    <w:rsid w:val="009B7837"/>
    <w:rsid w:val="009C15E0"/>
    <w:rsid w:val="009D0E7A"/>
    <w:rsid w:val="00A7765F"/>
    <w:rsid w:val="00B07CE4"/>
    <w:rsid w:val="00B30AAC"/>
    <w:rsid w:val="00B7581A"/>
    <w:rsid w:val="00B816AD"/>
    <w:rsid w:val="00B84753"/>
    <w:rsid w:val="00BB663B"/>
    <w:rsid w:val="00C23C59"/>
    <w:rsid w:val="00C814EB"/>
    <w:rsid w:val="00C95D03"/>
    <w:rsid w:val="00C96933"/>
    <w:rsid w:val="00C978F3"/>
    <w:rsid w:val="00CC27EA"/>
    <w:rsid w:val="00CC31FD"/>
    <w:rsid w:val="00CE21DE"/>
    <w:rsid w:val="00CE6A3B"/>
    <w:rsid w:val="00D47543"/>
    <w:rsid w:val="00D47E5E"/>
    <w:rsid w:val="00DA697A"/>
    <w:rsid w:val="00DC0CA4"/>
    <w:rsid w:val="00DD2E03"/>
    <w:rsid w:val="00E10490"/>
    <w:rsid w:val="00E4126E"/>
    <w:rsid w:val="00F16BC8"/>
    <w:rsid w:val="00F22694"/>
    <w:rsid w:val="00F9349B"/>
    <w:rsid w:val="00FE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36D"/>
    <w:pPr>
      <w:ind w:left="720"/>
      <w:contextualSpacing/>
    </w:pPr>
  </w:style>
  <w:style w:type="paragraph" w:styleId="Header">
    <w:name w:val="header"/>
    <w:basedOn w:val="Normal"/>
    <w:link w:val="HeaderChar"/>
    <w:uiPriority w:val="99"/>
    <w:unhideWhenUsed/>
    <w:rsid w:val="00D4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5E"/>
  </w:style>
  <w:style w:type="paragraph" w:styleId="Footer">
    <w:name w:val="footer"/>
    <w:basedOn w:val="Normal"/>
    <w:link w:val="FooterChar"/>
    <w:uiPriority w:val="99"/>
    <w:unhideWhenUsed/>
    <w:rsid w:val="00D4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5E"/>
  </w:style>
  <w:style w:type="paragraph" w:styleId="BalloonText">
    <w:name w:val="Balloon Text"/>
    <w:basedOn w:val="Normal"/>
    <w:link w:val="BalloonTextChar"/>
    <w:uiPriority w:val="99"/>
    <w:semiHidden/>
    <w:unhideWhenUsed/>
    <w:rsid w:val="00D4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5E"/>
    <w:rPr>
      <w:rFonts w:ascii="Tahoma" w:hAnsi="Tahoma" w:cs="Tahoma"/>
      <w:sz w:val="16"/>
      <w:szCs w:val="16"/>
    </w:rPr>
  </w:style>
  <w:style w:type="character" w:styleId="Hyperlink">
    <w:name w:val="Hyperlink"/>
    <w:basedOn w:val="DefaultParagraphFont"/>
    <w:uiPriority w:val="99"/>
    <w:unhideWhenUsed/>
    <w:rsid w:val="00515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536D"/>
    <w:pPr>
      <w:ind w:left="720"/>
      <w:contextualSpacing/>
    </w:pPr>
  </w:style>
  <w:style w:type="paragraph" w:styleId="Header">
    <w:name w:val="header"/>
    <w:basedOn w:val="Normal"/>
    <w:link w:val="HeaderChar"/>
    <w:uiPriority w:val="99"/>
    <w:unhideWhenUsed/>
    <w:rsid w:val="00D47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E5E"/>
  </w:style>
  <w:style w:type="paragraph" w:styleId="Footer">
    <w:name w:val="footer"/>
    <w:basedOn w:val="Normal"/>
    <w:link w:val="FooterChar"/>
    <w:uiPriority w:val="99"/>
    <w:unhideWhenUsed/>
    <w:rsid w:val="00D47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E5E"/>
  </w:style>
  <w:style w:type="paragraph" w:styleId="BalloonText">
    <w:name w:val="Balloon Text"/>
    <w:basedOn w:val="Normal"/>
    <w:link w:val="BalloonTextChar"/>
    <w:uiPriority w:val="99"/>
    <w:semiHidden/>
    <w:unhideWhenUsed/>
    <w:rsid w:val="00D4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5E"/>
    <w:rPr>
      <w:rFonts w:ascii="Tahoma" w:hAnsi="Tahoma" w:cs="Tahoma"/>
      <w:sz w:val="16"/>
      <w:szCs w:val="16"/>
    </w:rPr>
  </w:style>
  <w:style w:type="character" w:styleId="Hyperlink">
    <w:name w:val="Hyperlink"/>
    <w:basedOn w:val="DefaultParagraphFont"/>
    <w:uiPriority w:val="99"/>
    <w:unhideWhenUsed/>
    <w:rsid w:val="00515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jteelokee</dc:creator>
  <cp:lastModifiedBy>Rani Boojawon</cp:lastModifiedBy>
  <cp:revision>4</cp:revision>
  <cp:lastPrinted>2015-09-07T09:59:00Z</cp:lastPrinted>
  <dcterms:created xsi:type="dcterms:W3CDTF">2015-10-07T07:48:00Z</dcterms:created>
  <dcterms:modified xsi:type="dcterms:W3CDTF">2015-10-07T09:04:00Z</dcterms:modified>
</cp:coreProperties>
</file>